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6A240" w14:textId="77777777" w:rsidR="00FA31FF" w:rsidRPr="00FA31FF" w:rsidRDefault="00FA31FF" w:rsidP="00FA31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Treść przekazanej wiadomości ---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4"/>
        <w:gridCol w:w="7458"/>
      </w:tblGrid>
      <w:tr w:rsidR="00FA31FF" w:rsidRPr="00FA31FF" w14:paraId="5A0089C2" w14:textId="77777777">
        <w:trPr>
          <w:tblCellSpacing w:w="0" w:type="dxa"/>
        </w:trPr>
        <w:tc>
          <w:tcPr>
            <w:tcW w:w="0" w:type="auto"/>
            <w:noWrap/>
            <w:hideMark/>
          </w:tcPr>
          <w:p w14:paraId="017B43AD" w14:textId="77777777" w:rsidR="00FA31FF" w:rsidRPr="00FA31FF" w:rsidRDefault="00FA31FF" w:rsidP="00FA31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31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Temat: </w:t>
            </w:r>
          </w:p>
        </w:tc>
        <w:tc>
          <w:tcPr>
            <w:tcW w:w="0" w:type="auto"/>
            <w:vAlign w:val="center"/>
            <w:hideMark/>
          </w:tcPr>
          <w:p w14:paraId="70DFEFD4" w14:textId="77777777" w:rsidR="00FA31FF" w:rsidRPr="00FA31FF" w:rsidRDefault="00FA31FF" w:rsidP="00FA31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[OZNACZONO JAKO [SPAM]] Do przodu: inicjatywa dyskursu/dyskusji legislacyjnej 'Postulat legislacyjny: API / </w:t>
            </w:r>
            <w:proofErr w:type="spellStart"/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KSef-eZUS</w:t>
            </w:r>
            <w:proofErr w:type="spellEnd"/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- Opinia wykonawcza TPN (c.d. w sprawie </w:t>
            </w:r>
            <w:proofErr w:type="spellStart"/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Ksef</w:t>
            </w:r>
            <w:proofErr w:type="spellEnd"/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- ZUS)'</w:t>
            </w:r>
          </w:p>
        </w:tc>
      </w:tr>
      <w:tr w:rsidR="00FA31FF" w:rsidRPr="00FA31FF" w14:paraId="7F1730B8" w14:textId="77777777">
        <w:trPr>
          <w:tblCellSpacing w:w="0" w:type="dxa"/>
        </w:trPr>
        <w:tc>
          <w:tcPr>
            <w:tcW w:w="0" w:type="auto"/>
            <w:noWrap/>
            <w:hideMark/>
          </w:tcPr>
          <w:p w14:paraId="61B1B283" w14:textId="77777777" w:rsidR="00FA31FF" w:rsidRPr="00FA31FF" w:rsidRDefault="00FA31FF" w:rsidP="00FA31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31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Data: </w:t>
            </w:r>
          </w:p>
        </w:tc>
        <w:tc>
          <w:tcPr>
            <w:tcW w:w="0" w:type="auto"/>
            <w:vAlign w:val="center"/>
            <w:hideMark/>
          </w:tcPr>
          <w:p w14:paraId="791A4006" w14:textId="77777777" w:rsidR="00FA31FF" w:rsidRPr="00FA31FF" w:rsidRDefault="00FA31FF" w:rsidP="00FA31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Tue</w:t>
            </w:r>
            <w:proofErr w:type="spellEnd"/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, 23 </w:t>
            </w:r>
            <w:proofErr w:type="spellStart"/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Jun</w:t>
            </w:r>
            <w:proofErr w:type="spellEnd"/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2026 22:15:40 +0200 (CEST)</w:t>
            </w:r>
          </w:p>
        </w:tc>
      </w:tr>
      <w:tr w:rsidR="00FA31FF" w:rsidRPr="00FA31FF" w14:paraId="57D01142" w14:textId="77777777">
        <w:trPr>
          <w:tblCellSpacing w:w="0" w:type="dxa"/>
        </w:trPr>
        <w:tc>
          <w:tcPr>
            <w:tcW w:w="0" w:type="auto"/>
            <w:noWrap/>
            <w:hideMark/>
          </w:tcPr>
          <w:p w14:paraId="37B4FD81" w14:textId="77777777" w:rsidR="00FA31FF" w:rsidRPr="00FA31FF" w:rsidRDefault="00FA31FF" w:rsidP="00FA31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31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Nadawca: </w:t>
            </w:r>
          </w:p>
        </w:tc>
        <w:tc>
          <w:tcPr>
            <w:tcW w:w="0" w:type="auto"/>
            <w:vAlign w:val="center"/>
            <w:hideMark/>
          </w:tcPr>
          <w:p w14:paraId="356DFEAD" w14:textId="77777777" w:rsidR="00FA31FF" w:rsidRPr="00FA31FF" w:rsidRDefault="00FA31FF" w:rsidP="00FA31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Towarzystwo Przyjaciół Nauk Pro </w:t>
            </w:r>
            <w:proofErr w:type="spellStart"/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Publico</w:t>
            </w:r>
            <w:proofErr w:type="spellEnd"/>
            <w:r w:rsidRPr="00FA31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Bono K.O.T.A. RP Prosta Spółka Akcyjna </w:t>
            </w:r>
            <w:hyperlink r:id="rId4" w:history="1">
              <w:r w:rsidRPr="00FA31FF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pl-PL"/>
                  <w14:ligatures w14:val="none"/>
                </w:rPr>
                <w:t>&lt;info@societyoffriendsofscience.com&gt;</w:t>
              </w:r>
            </w:hyperlink>
          </w:p>
        </w:tc>
      </w:tr>
      <w:tr w:rsidR="00FA31FF" w:rsidRPr="00FA31FF" w14:paraId="15661769" w14:textId="77777777">
        <w:trPr>
          <w:tblCellSpacing w:w="0" w:type="dxa"/>
        </w:trPr>
        <w:tc>
          <w:tcPr>
            <w:tcW w:w="0" w:type="auto"/>
            <w:noWrap/>
            <w:hideMark/>
          </w:tcPr>
          <w:p w14:paraId="6432E5B8" w14:textId="77777777" w:rsidR="00FA31FF" w:rsidRPr="00FA31FF" w:rsidRDefault="00FA31FF" w:rsidP="00FA31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31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Odpowiedź-Do: </w:t>
            </w:r>
          </w:p>
        </w:tc>
        <w:tc>
          <w:tcPr>
            <w:tcW w:w="0" w:type="auto"/>
            <w:vAlign w:val="center"/>
            <w:hideMark/>
          </w:tcPr>
          <w:p w14:paraId="0FA3AE65" w14:textId="77777777" w:rsidR="00FA31FF" w:rsidRPr="00FA31FF" w:rsidRDefault="00FA31FF" w:rsidP="00FA31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hyperlink r:id="rId5" w:history="1">
              <w:r w:rsidRPr="00FA31FF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pl-PL"/>
                  <w14:ligatures w14:val="none"/>
                </w:rPr>
                <w:t>info@societyoffriendsofscience.com</w:t>
              </w:r>
            </w:hyperlink>
          </w:p>
        </w:tc>
      </w:tr>
      <w:tr w:rsidR="00FA31FF" w:rsidRPr="00FA31FF" w14:paraId="74D50EDA" w14:textId="77777777">
        <w:trPr>
          <w:tblCellSpacing w:w="0" w:type="dxa"/>
        </w:trPr>
        <w:tc>
          <w:tcPr>
            <w:tcW w:w="0" w:type="auto"/>
            <w:noWrap/>
            <w:hideMark/>
          </w:tcPr>
          <w:p w14:paraId="089CCBE6" w14:textId="77777777" w:rsidR="00FA31FF" w:rsidRPr="00FA31FF" w:rsidRDefault="00FA31FF" w:rsidP="00FA31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31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Adresat: </w:t>
            </w:r>
          </w:p>
        </w:tc>
        <w:tc>
          <w:tcPr>
            <w:tcW w:w="0" w:type="auto"/>
            <w:vAlign w:val="center"/>
            <w:hideMark/>
          </w:tcPr>
          <w:p w14:paraId="0246E53D" w14:textId="77777777" w:rsidR="00FA31FF" w:rsidRPr="00FA31FF" w:rsidRDefault="00FA31FF" w:rsidP="00FA31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hyperlink r:id="rId6" w:history="1">
              <w:r w:rsidRPr="00FA31FF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pl-PL"/>
                  <w14:ligatures w14:val="none"/>
                </w:rPr>
                <w:t>ug@swiekatowo.pl</w:t>
              </w:r>
            </w:hyperlink>
          </w:p>
        </w:tc>
      </w:tr>
    </w:tbl>
    <w:p w14:paraId="06727E3B" w14:textId="2CA7BC28" w:rsidR="00184ACC" w:rsidRDefault="00FA31FF"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Do właściwej osoby,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Szanowny Panie lub szanowna Pani,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Obecna wiadomość przekazana zostaje wobec odnalezienia emaila adresata w Biuletynie Informacji Publicznej bądź w podobnym źródle przyjaznym dla Towarzystwa. Obecnych email, podobnie jak poprzednie, nie tworzy konieczności, ani obowiązków, a jedynie możliwości rozpatrywań pomysłów legislacyjnych. Towarzystwo uprzejmie pozwala sobie poinformować o dalszych sprawach pomysłów legislacyjnych przekazanych w dniu dzisiejszym posłom i senatorom Rzeczypospolitej, mając na względzie uchwałę o nazwie: Uchwała Senatu Rzeczypospolitej Polskiej z dnia 16 kwietnia 1998 r. o ciągłości prawnej między II a III Rzecząpospolitą Polską (M.P. 1998 Nr 12, poz. 200), a wobec niej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zwłaszcza ustawę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Ustawę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dnia 3 czerwca 1924 r. o poczcie, telegrafie i telefonie — Dz.U. 1924 nr 58 poz. 584. Akt miał później tekst jednolity ogłoszony w 1933 r. jako Dz.U. 1933 nr 63 poz. 481 (która nie zabraniała kontaktowania się osób nieznajomych drogą korespondencyjną, a więc która być może mogłaby być rozpoznawaną jako w pewnej mierze obecna norma prawna przynależna do obecnego, dzisiejszego porządku prawnego). W dniu dzisiejszym wobec ordynansu i zarządzenia dyrektorskiego Rady Dyrektorów Towarzystwa przekazano posłom i senatorom następujące pomysły legislacyjne wobec obserwacji na temat ZUS i tzw. proponowanego przez Towarzystwo cyfrowego ZUS-API albo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KSef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-ZUS /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KSef-eZus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owy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email zawierał także łącze elektroniczne do Statutu uchwalonego przez Zgromadzenie Towarzystwa w poprzednim dniu: </w:t>
      </w:r>
      <w:hyperlink r:id="rId7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www.towarzystwoprzyjaciolnauk.pl/Statut/STATUT_TPN_PPB_KOTA_RP_PSA.pdf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Wiadomość przekazaną posłom i senatorom można odnaleźć poniżej. Towarzystwo postuluje możliwą petycję obywatelską w sprawie dyskusji wewnętrznej nad tą korespondencją jeśli osoba otrzymująca obecną informację uznałaby taki pomysł za pomocny albo możliwy w danym momencie. Tymczasem, Towarzystwo życzy miłego i spokojnego dnia.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Z uprzejmymi wyrazami poważania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Towarzystwo Przyjaciół Nauk Pro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Publico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Bono K.O.T.A. RP P.S.A. (dalej zwane Towarzystwem); Siedziba*: Łódź; biuro przy ul. Juliana Tuwima 48 lok. 11, 90-021 Łódź, Rzeczpospolita Polska; Sąd Rejestrowy: Sąd Rejonowy dla Łodzi-Śródmieścia w Łodzi, XX Wydział Gospodarczy Krajowego Rejestru Sądowego; KRS: 0001226252; NIP: 7252364596; kapitał akcyjny: 1 zł. Nr. telefonu: 00-48-42-2032212; Towarzystwo, tj. Spółka i Jej zrzeszenie wewnętrzne TPN reprezentowane są przez: Jan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Zirk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-Sadowski, Doktor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Cantab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Dyrektor Główny; (zaimki: On / Jemu / Jego; Email: </w:t>
      </w:r>
      <w:hyperlink r:id="rId8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info@towarzystwoprzyjaciolnauk.pl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); Druh Królewskiego Towarzystwa Statystycznego, będącego osobą prawną ustanowioną na mocy Królewskiego Uniwersału zapewnionego przez Jej Królewską Mość Królową Wiktorię 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pod Koroną Zjednoczonego Królestwa, Druh Towarzystwa za obecnego panowania Jego Królewskiej Mości Króla Karola Trzeciego, z Bożej łaski, Króla Zjednoczonego Królestwa Wielkiej Brytanii i Irlandii Północnej oraz innych Jego Królestw i Terytoriów, Głowy Wspólnoty Narodów, Obrońcy Wiary; Stały Uczestnik Kolegium Darwina Uniwersytetu Cambridge; Senator Uniwersytetu Cambridge.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hyperlink r:id="rId9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https://www.towarzystwoprzyjaciolnauk.pl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; *, zob. dookreślenia na stronie: </w:t>
      </w:r>
      <w:hyperlink r:id="rId10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https://www.towarzystwoprzyjaciolnauk.pl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| przez: </w:t>
      </w:r>
      <w:hyperlink r:id="rId11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http://www.przeprawy24.pl/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| przez: </w:t>
      </w:r>
      <w:hyperlink r:id="rId12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http://www.przeprawy24.com/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Society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Friends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Science Pro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Publico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Bono C.C.A.A.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Cth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S.J.S.C. (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known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as the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Society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), the Seat*: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Lodz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;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while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the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office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address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Apartment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11, 48 Juliana Tuwima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Street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90-021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Lodz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Republic of Poland, Register Law Court: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District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Law Court for Łódź-Śródmieście in Łódź, 20th Commercial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Division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the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National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Law Court Register,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National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Law Court Register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Number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(KRS): 0001226252, The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Company's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Tax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Identification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Number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(NIP): 7252364596,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share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capital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1 PLN. Phone no.: 00-48-42-2032212; the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Society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i.e. the Company and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Its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interior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association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SOFOS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are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represented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by: Jan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Zirk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-Sadowski,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PhD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Cantab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Director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General; (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Pronouns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He /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Him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/ His; Email: </w:t>
      </w:r>
      <w:hyperlink r:id="rId13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info@towarzystwoprzyjaciolnauk.pl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);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Fellow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the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Royal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Statistical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Society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a body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corporate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incorporated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by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Royal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Charter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granted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by Her Majesty Queen Victoria,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under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the Crown of the United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Kingdom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Fellow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the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Society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in the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reign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His Majesty King Charles the Third, by the Grace of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God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of the United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Kingdom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Great Britain and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Northern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Ireland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and of His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other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Realms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and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Territories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King,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Head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the Commonwealth,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Defender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the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Faith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; Life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Member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Darwin College, University of Cambridge;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Member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the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Senate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 the University of Cambridge.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hyperlink r:id="rId14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https://www.societyoffriendsofscience.com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; *,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see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specifications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on the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website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</w:t>
      </w:r>
      <w:hyperlink r:id="rId15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https://www.societyoffriendsofscience.com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| via: </w:t>
      </w:r>
      <w:hyperlink r:id="rId16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http://www.przeprawy24.com/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| via: </w:t>
      </w:r>
      <w:hyperlink r:id="rId17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http://www.przeprawy24.pl/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"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"Do Posłanek i Posłów na Sejm Rzeczypospolitej Polskiej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oraz do Senatorów Rzeczypospolitej Polskiej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Do wiadomości właściwej osoby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Opinia wykonawcza TPN (c.d. w sprawie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Ksef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- ZUS)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(...) [tj. Szanowny Panie/ szanowna Pani; przyp. tł.]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 nawiązaniu do inicjatywy dotyczącej możliwych postulatów legislacyjnych w zakresie cyfrowej komunikacji pomiędzy płatnikami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składek a Zakładem Ubezpieczeń Społecznych, w tym roboczo określanych zagadnień „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KSeF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–ZUS”, „e-ZUS API” albo „ZUS API”,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Towarzystwo Przyjaciół Nauk Pro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Publico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Bono K.O.T.A. RP Prosta Spółka Akcyjna uprzejmie przekazuje niniejszą opinię wykonawczą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Towarzystwa schematem pro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publico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bono do wiadomości Posłanek i Posłów oraz Senatorów Rzeczypospolitej Polskiej. Towarzystwo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podtrzymuje przedstawiony wcześniej postulat legislacyjny, pomimo iż wiadomość otrzymana przez Towarzystwo od Zakładu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Ubezpieczeń Społecznych za pośrednictwem e-Doręczeń potwierdziła otrzymanie i zaakceptowanie sprawozdań Towarzystwa.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Towarzystwo przyjmuje ten stan rzeczy z satysfakcją, jako okoliczność sprzyjającą polubownemu zakończeniu sprawy w jej aktualnym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wymiarze praktycznym. Jednocześnie Towarzystwo wskazuje, że pozytywne rozstrzygnięcie konkretnej sytuacji nie usuwa potrzeby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dalszej refleksji legislacyjnej nad równością podmiotów prawnych wobec prawa, proporcjonalnością wymogów formalnych oraz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technologiczną neutralnością cyfrowych kanałów komunikacji z Zakładem Ubezpieczeń Społecznych.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A. Istota postulatu legislacyjnego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Towarzystwo uprzejmie dąży do tego, aby podmioty prawne, wspólnoty organizacyjne, organizacje społecznościowe oraz inni płatnicy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rozliczający składki za więcej niż 5 osób mogli stosować bardziej dostępne,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interoperacyjne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neutralne technologicznie oraz równomierne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cyfrowe sposoby składania dokumentów do Zakładu Ubezpieczeń Społecznych. Postulat ten dotyczy zwłaszcza rozwiązań opartych na e-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Doręczeniach albo na publicznie udostępnionym interfejsie API z możliwością wglądu Ministerstwa rodzin, umożliwiającym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przekazywanie ustrukturyzowanych danych, w tym danych XML albo ich odpowiedników funkcjonalnych, bez konieczności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każdorazowego korzystania z obciążających mechanizmów formularzowych, okienkowych lub aplikacyjnych. Towarzystwo rozpoznaje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obecny stan prawny w ten sposób, że płatnicy rozliczający składki za nie więcej niż 5 osób mają prawną możliwość przekazywania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dokumentów w formie pisemnej według ustalonego wzoru, w tym listem poleconym, a w praktyce komunikacji publicznej także za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pośrednictwem e-Doręczeń, które pełnią funkcję elektronicznego odpowiednika przesyłki rejestrowanej. Natomiast płatnicy rozliczający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składki za więcej niż 5 osób podlegają dalej idącym wymogom (skutkującym nierównomiernościami fizycznymi, czasowymi 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energetycznymi) przekazywania dokumentów w formie elektronicznej poprzez systemy przewidziane dla dokumentów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ubezpieczeniowych, zwłaszcza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eZUS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/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ePłatnik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albo Program Płatnik. Taki zbiór postanowień jest problematyczny wobec braku zwykłej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możliwości złożenia tych dokumentów samym e-Doręczeniem jako elektronicznym odpowiednikiem listu poleconego albo przez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publiczny interfejs API podobny funkcjonalnie do rozwiązań przewidzianych dla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KSeF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Towarzystwo wskazuje, że skoro Rzeczpospolita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rozwija powszechne kanały cyfrowej komunikacji oraz systemy umożliwiające wymianę ustrukturyzowanych danych, to zasadne jest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rozważenie, czy podobny kierunek nie powinien zostać zastosowany również wobec dokumentów składanych do Zakładu Ubezpieczeń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Społecznych.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Obecnie osoba działająca w imieniu większej osoby prawnej, wspólnoty organizacyjnej albo innego płatnika przekraczającego próg 5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osób musi korzystać z rozwiązań wymagających logowania do systemu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eZUS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/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ePłatnik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albo 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posługiwania się lokalnym programem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instalowanym w środowisku systemowym przewidzianym przez ZUS. W praktyce może to oznaczać konieczność stosowania formularzy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ekranowych, kreatorów, importu plików KEDU/XML do aplikacji albo z programu wykonywalnego typu .exe, przy braku równoległej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możliwości prostego przekazania ustrukturyzowanych danych XML przez publiczny interfejs API. Towarzystwo nie kwestionuje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potrzeby zapewnienia bezpieczeństwa, integralności danych, identyfikacji nadawcy, autoryzacji czynności ani prawidłowości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dokumentów ubezpieczeniowych. Przeciwnie, Towarzystwo uznaje te cele za ważne i zasługujące na opiekę rządową. Towarzystwo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wskazuje jednak, że obecny model może prowadzić do nieproporcjonalnych i nierównomiernych (a więc i dyskryminacyjnych bądź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potencjalnie dyskryminacyjnych) obciążeń formalnych po stronie podmiotów prawnych, zwłaszcza takich, które przekraczają próg 5 osób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jedynie nieznacznie, lecz z tego powodu zostają objęte istotnie bardziej skomplikowanym reżimem technicznym. Z perspektywy zasady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równości wobec prawa szczególnego rozważenia wymaga to, czy różnica pomiędzy płatnikiem rozliczającym 5 osób a płatnikiem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rozliczającym 6 osób uzasadnia aż tak odmienne konsekwencje organizacyjne i techniczne, iż wobec tego drugiego przypadku wymagana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jest znacznie więcej poświęceń. Towarzystwo wskazuje, że formalny próg liczbowy nie powinien prowadzić do sytuacji, w której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podmioty podobne co do skali, społecznościowych funkcji i rzeczywistych możliwości organizacyjnych są traktowane w sposób znacząco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odmienny pod względem dostępności kanałów komunikacji z rządem i/lub państwem prawnym. Towarzystwo postuluje więc rozważenie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zmiany prawa lub praktyki systemowej w kierunku umożliwienia większym płatnikom korzystania z dodatkowych, równoległych 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bezpiecznych kanałów komunikacji, zwłaszcza e-Doręczeń albo publicznego API ZUS. W takim modelu ciężar technicznej akceptacji,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wstępnej walidacji, klasyfikacji oraz przetwarzania sprawozdań znajdowałby się w większym stopniu po stronie systemów publicznych, 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nie po stronie małych i średnich podmiotów prawnych zobowiązanych do dostosowywania się do zamkniętych lub okienkowych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sposobów przekazywania danych, których niezawodność prawdopodobnie podlega mniejszej kontroli niż niezawodność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eDoręczeń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Zdaniem Towarzystwa taki kierunek byłby zgodny z ideą cyfrowego państwa, zasadą równości wobec prawa oraz zasadą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proporcjonalności wymogów formalnych. Obecnym dążeniem nie jest obniżenie standardów bezpieczeństwa ani rezygnacja z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elektronicznej walidacji dokumentów, a jest nim umożliwienie kanałów komunikacji odpowiadających współczesnym możliwościom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technologicznym, w tym API oraz e-Doręczenia, bez różnicowania sytuacji podmiotów prawnych wyłącznie z powodu przekroczenia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granicy 5 osób.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B. Równość wobec prawa jako główna podstawa postulatu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Towarzystwo wskazuje przede wszystkim na art. 32 Konstytucji Rzeczypospolitej Polskiej, zgodnie z którym wszyscy są wobec prawa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równi oraz wszyscy mają prawo do równego traktowania przez władze publiczne. Nikt nie może być dyskryminowany w życiu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politycznym, społecznościowym i/lub gospodarczym z jakiejkolwiek przyczyny. W ocenie Towarzystwa zasada równości wobec prawa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nie oznacza zakazu jakiegokolwiek różnicowania sytuacji prawnej podmiotów. Oznacza jednak, że różnicowanie takie powinno mieć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podstawę racjonalną, obiektywną, proporcjonalną oraz pozostającą w związku z celem regulacji. Jeżeli dwie wspólnoty organizacyjne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różnią się wyłącznie tym, że jedna rozlicza 5 osób, a druga 6 osób, to ustawodawca powinien ocenić, czy tak niewielka różnica liczby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osób uzasadnia istotnie odmienne wymagania techniczne i formalne. Jeżeli Państwo Polskie dopuszcza list polecony albo e-Doręczenia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dla jednego rodzaju podmiotów, a równocześnie wyłącza możliwość zwykłego stosowania e-Doręczeń albo API dla podmiotów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nieznacznie większych, to naturalnie tworzy się zagadnienie równego traktowania podmiotów podobnych wobec prawa. W tym sensie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Towarzystwo dąży do równości praw pomiędzy społecznościami prawnymi sprawozdającymi za nie więcej niż 5 osób a społecznościami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prawnymi sprawozdającymi za więcej niż 5 osób. Celem postulatu nie jest obniżenie standardów bezpieczeństwa, lecz rozszerzenie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dostępnych i bezpiecznych kanałów składania dokumentów, tak aby wymogi formalne nie prowadziły do nierównomiernego obciążenia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podmiotów podobnych.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C. Pozostałe podstawy konstytucyjne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Oprócz art. 32 Konstytucji RP Towarzystwo wskazuje na art. 2 Konstytucji RP, ustanawiający zasadę demokratycznego państwa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prawnego. Zasada ta obejmuje między innymi wymogi zaufania obywateli i podmiotów prawnych do państwa, przyzwoitej legislacji,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jasności prawa oraz racjonalnego kształtowania obowiązków administracyjnych. Towarzystwo wskazuje również na art. 31 ust. 3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Konstytucji RP, z którego wynika standard proporcjonalności ograniczeń praw i wolności. Ciężary techniczne oraz formalne nakładane na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podmioty prawne powinny być odpowiednie, konieczne i nienadmierne wobec celu regulacji. Jeżeli ten sam cel można osiągnąć przez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bezpieczne e-Doręczenie albo przez publiczne API, należy rozważyć, czy utrzymywanie wyłącznie bardziej zamkniętych mechanizmów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formularzowych jest nadal proporcjonalne. Znaczenie może mieć również art. 51 Konstytucji RP, dotyczący zasad pozyskiwania,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gromadzenia i udostępniania informacji przez władze publiczne. W ocenie Towarzystwa cyfrowe kanały wymiany danych powinny być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projektowane w sposób, który ogranicza nadmierne obowiązki organizacyjne i umożliwia przekazanie danych w formie adekwatnej do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celu publicznego.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D. Przepisy dotyczące dokumentów ZUS oraz neutralności technologicznej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Towarzystwo wskazuje na art. 47a ustawy z dnia 13 października 1998 r. o systemie 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ubezpieczeń społecznych jako przepis regulujący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sposób przekazywania dokumentów ubezpieczeniowych do Zakładu Ubezpieczeń Społecznych. Towarzystwo rozpoznaje ten przepis w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ten sposób, że przewiduje on odmienne zasady dla płatników składek rozliczających składki za nie więcej niż 5 osób oraz dla płatników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rozliczających składki za więcej niż 5 osób. Z perspektywy niniejszego postulatu szczególne znaczenie ma to, że mniejsi płatnicy mogą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korzystać z form prostszych, podczas gdy więksi płatnicy są kierowani do bardziej wyspecjalizowanych rozwiązań elektronicznych.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Towarzystwo zwraca także uwagę na znaczenie art. 47a ust. 7 ustawy o systemie ubezpieczeń społecznych, który wskazuje potrzebę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uwzględniania równego traktowania powszechnie używanych systemów operacyjnych oraz umożliwienia podmiotom stosowania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oprogramowania dostosowanego do używanych platform systemowych bez konieczności ponoszenia dodatkowych kosztów licencyjnych.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 ocenie Towarzystwa ratio tego przepisu przemawia za tym, aby dalszy rozwój systemów ZUS zmierzał ku większej neutralności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technologicznej, interoperacyjności oraz dostępności dla podmiotów korzystających z różnych środowisk informatycznych. W tym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kontekście publiczne API, analogicznie do rozwiązań znanych z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KSeF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mogłoby stanowić narzędzie pozwalające na przekazywanie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danych w sposób ustrukturyzowany,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walidowalny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bezpieczny, bez konieczności pełnej zależności od formularzy okienkowych albo od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konkretnego programu wykonywalnego.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E. Znaczenie ustawy o doręczeniach elektronicznych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Towarzystwo wskazuje również na ustawę z dnia 18 listopada 2020 r. o doręczeniach elektronicznych, która ustanawia ramy prawne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publicznej usługi rejestrowanego doręczenia elektronicznego oraz adresów do doręczeń elektronicznych. Jeżeli e-Doręczenia mają pełnić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funkcję elektronicznego odpowiednika korespondencji rejestrowanej oraz stanowić powszechny kanał zaufanej komunikacji z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podmiotami publicznymi, to Towarzystwo postuluje rozważenie ich szerszego zastosowania w relacjach z Zakładem Ubezpieczeń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Społecznych. Dotyczy to zwłaszcza sytuacji, w których obecne przepisy lub praktyka systemowa prowadzą do odmiennego traktowania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podmiotów podobnych tylko z uwagi na przekroczenie progu liczby osób. Towarzystwo wskazuje, że rozwój e-Doręczeń oraz rozwój API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nie są kierunkami sprzecznymi. Przeciwnie, mogą się uzupełniać. E-Doręczenie może pełnić funkcję zaufanego kanału komunikacji 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doręczenia, natomiast API może pełnić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funcję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rzetelnego sposobu przekazywania danych. Połączenie obu podejść mogłoby ograniczyć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formalizm, zwiększyć pewność dowodową oraz poprawić dostępność usług publicznych i zaufanie do Państwa.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F. Orzecznictwo dotyczące zasady równości wobec prawa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Towarzystwo wskazuje na utrwaloną linię orzeczniczą Trybunału Konstytucyjnego, zgodnie z którą zasada równości wobec prawa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oznacza, że wszystkie podmioty prawa charakteryzujące się daną cechą istotną, czyli 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relewantną, powinny być traktowane równo, według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jednakowej miary, bez zróżnicowań dyskryminujących albo faworyzujących. W orzecznictwie Trybunału Konstytucyjnego podkreślano,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że ocena regulacji z punktu widzenia art. 32 Konstytucji RP wymaga ustalenia, czy istnieje wspólna cecha istotna uzasadniająca równe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traktowanie podmiotów, a następnie czy ewentualne zróżnicowanie ma racjonalne, obiektywne i proporcjonalne uzasadnienie.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Przykładowo w wyroku TK z dnia 16 grudnia 1997 r., sygn. K 8/97, oraz w późniejszym orzecznictwie, w tym między innymi w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sprawach SK 6/01, P 13/04, SK 15/06 oraz K 2/10, wskazywano, że podmioty podobne powinny być traktowane podobnie, a odmienne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traktowanie wymaga uzasadnienia opartego na cesze relewantnej. Towarzystwo wskazuje również na orzecznictwo Sądu Najwyższego,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które odwołuje się do konstytucyjnej zasady równości wobec prawa. W orzecznictwie Sądu Najwyższego podkreślano, że art. 32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Konstytucji RP wyraża ogólną zasadę równości oraz prawo do równego traktowania przez władze publiczne. W orzeczeniu Sądu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Najwyższego z dnia 17 listopada 2021 r., sygn. II USKP 77/21, Sąd Najwyższy odwołał się do art. 32 Konstytucji RP jako podstawy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ogólnej zasady równości i wskazał jej znaczenie w systemie prawa. Towarzystwo przyjmuje, że wskazane orzecznictwo nie rozstrzyga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automatycznie szczegółowego pytania, czy dokumenty ZUS powinny już obecnie być przyjmowane przez e-Doręczenia od wszystkich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płatników albo przez API analogiczne do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KSeF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Orzecznictwo to wyznacza jednak standard, który powinien być uwzględniony w pracach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legislacyjnych: różnicowanie wymogów formalnych między podmiotami podobnymi powinno być racjonalne, proporcjonalne i możliwe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do obrony z punktu widzenia zasady równości.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G. Argument organizacyjny: ciężar powinien spoczywać po stronie systemów publicznych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Towarzystwo podnosi, że w przypadku dopuszczenia e-Doręczeń albo publicznego API dla większych płatników ciężar technicznej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akceptacji, walidacji, klasyfikacji i przetwarzania sprawozdań powinien w większym stopniu znajdować się po stronie systemów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publicznych, a nie po stronie małych podmiotów prawnych, wspólnot obywatelskich, stowarzyszeń, spółek lub innych organizacji. Takie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rozwiązanie odpowiadałoby kierunkowi cyfryzacji państwa, w którym obywatel albo podmiot prawny powinien mieć możliwość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przekazania danych w sposób jednolity, bezpieczny, powtarzalny i dostępny, a administracja publiczna powinna dysponować narzędziami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technicznymi do ich przetworzenia. Towarzystwo wskazuje, że państwo dysponuje znacznie większym potencjałem instytucjonalnym,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organizacyjnym i technologicznym niż pojedyncze małe i średnie podmioty prawne. Z tego względu bardziej sprawiedliwe i racjonalne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jest projektowanie systemów publicznych w sposób, który przenosi ciężar integracji, walidacji i przetwarzania danych na profesjonalnie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utrzymywane systemy administracji publicznej, zamiast wymagać od każdego podmiotu prawnego dostosowywania się do zamkniętych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albo okienkowych narzędzi. W tym sensie publiczne API podobne do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KSeF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mogłoby istotnie zmniejszyć nierównomierność formalną.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Podmiot prawny mógłby przygotować dane w ustalonym, udokumentowanym formacie, przekazać je przez bezpieczny kanał maszynowy,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uzyskać potwierdzenie odbioru i zachować dowód wykonania obowiązku. Taki model byłby bardziej zgodny z oczekiwaniami wobec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nowoczesnego państwa cyfrowego.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H. Nawiązanie do wcześniejszego pisma z dnia 10 czerwca 2026 r.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Kontaktując się w związku z informacjami publikowanymi w Biuletynie Informacji Publicznej oraz podobnych publicznych źródłach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administracji, Towarzystwo podejmuje starania na rzecz wspólnego dobra legislacyjnego wobec niedawnych projektów legislacyjnych 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niniejszym przekazuje do wiadomości stanowisko złożone Posłom i Senatorom w dniu 10 czerwca 2026 r. W piśmie tym Towarzystwo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wskazywało, że zagadnienia „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KSeF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–ZUS”, „e-ZUS API” albo „ZUS API” mogłyby w przyszłości nieść pomoc społecznościom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mieszkańców, społecznościom obywatelskim, organizacjom społecznym oraz podmiotom prawnym. Towarzystwo wyraża nadzieję, że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dyskusja nad elektroniczną komunikacją z Zakładem Ubezpieczeń Społecznych będzie prowadzona w sposób otwarty, konstytucyjnie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wrażliwy i technologicznie neutralny. Towarzystwo uprzejmie przypomina, że wcześniejsze pismo skierowane do Posłów i Senatorów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zawierało następujący postulat: „Towarzystwo uprzejmie informuje, że w załączniku znajduje się pismo dotyczące odmowy stosowania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reguł e-Doręczeń przez ZUS, co świadczy o możliwych nieprawidłowościach praktyki Zakładu Ubezpieczeń Społecznych wobec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wskazanych ustaw i zarządzeń ministerialnych. Towarzystwo stanowczo zachęca do dyskusji publicznej nad legislacjami dotyczącymi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ZUS, zachęcając do rozważenia możliwości ustanowienia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KSeF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–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eZUS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API podobnym do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KSeF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–e-Faktur, oraz służy pomocą, życząc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przyjemnego dnia.”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I. Podsumowując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Towarzystwo podtrzymuje postulat rozważenia zmian legislacyjnych umożliwiających bardziej równomierne, proporcjonalne,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interoperacyjne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neutralne technologicznie traktowanie podmiotów prawnych w komunikacji z Zakładem Ubezpieczeń Społecznych.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Towarzystwo stoi na stanowisku, że dalszy rozwój prawa powinien zmierzać do zapewnienia równości wobec prawa w rozumieniu art. 32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Konstytucji RP, a także do ograniczenia nierównomiernych ciężarów formalnych wynikających z progów liczbowych, które mogą w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praktyce prowadzić do nieproporcjonalnego zróżnicowania sytuacji małych i średnich wspólnot prawnych. Towarzystwo będzie nadal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podejmowało działania, opracowania i inicjatywy zmierzające do poprawy prawa w zakresie cyfrowych sposobów komunikacji pomiędzy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obywatelami, podmiotami prawnymi oraz Zakładem Ubezpieczeń Społecznych, z poszanowaniem dotychczasowych działań administracji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publicznej oraz z nadzieją na dalszą konstruktywną współpracę.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Z uprzejmymi wyrazami poważania,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Rada Dyrektorów,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Towarzystwo Przyjaciół Nauk Pro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Publico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Bono K.O.T.A. RP Prosta Spółka Akcyjna,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Towarzystwo Przyjaciół Nauk Pro </w:t>
      </w:r>
      <w:proofErr w:type="spellStart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Publico</w:t>
      </w:r>
      <w:proofErr w:type="spellEnd"/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Bono K.O.T.A. RP P.S.A. (zwane Towarzystwem); Siedziba: Łódź; biuro przy ul. Juliana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Tuwima 48 lok. 11*, 90-021 Łódź, Rzeczpospolita Polska; Sąd Rejestrowy: Sąd Rejonowy dla Łodzi-Śródmieścia w Łodzi, XX Wydział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Gospodarczy Krajowego Rejestru Sądowego; KRS: 0001226252; NIP: 7252364596; kapitał akcyjny: 1 zł. Nr. telefonu: 00-48-42-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2032212;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Wcześniejszy załącznik do powyższej treści stanowiło pismo, które można odnaleźć pod następującym łączem internetowym: *</w:t>
      </w:r>
      <w:hyperlink r:id="rId18" w:history="1">
        <w:r w:rsidRPr="00FA31F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https://www.towarzystwoprzyjaciolnauk.pl/Statut/Odpowiedz_na_list_ZUS_10.06.2026.pdf</w:t>
        </w:r>
      </w:hyperlink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Towarzystwo obecnie funkcjonuje pod Statutem ustanowionym uchwałą Zgromadzenia w poprzednim dniu, możliwie służąc pomocą i wsłuchując się we wszelkie propozycje projektów legislacyjnych, ich poprawek albo rozwinięć:</w:t>
      </w:r>
      <w:r w:rsidRPr="00FA31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**www.towarzystwoprzyjaciolnauk.pl/Statut/STATUT_TPN_PPB_KOTA_RP_PSA.pdf</w:t>
      </w:r>
    </w:p>
    <w:sectPr w:rsidR="00184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1FF"/>
    <w:rsid w:val="00184ACC"/>
    <w:rsid w:val="003F2B8F"/>
    <w:rsid w:val="007F681F"/>
    <w:rsid w:val="00FA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2DE0E"/>
  <w15:chartTrackingRefBased/>
  <w15:docId w15:val="{688D3BCE-7DFA-4EC9-98C2-581CBFDF4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31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31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31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31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31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31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31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31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31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31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31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31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31F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31F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31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31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31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31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31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31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31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31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31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31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31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31F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31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31F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31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owarzystwoprzyjaciolnauk.pl" TargetMode="External"/><Relationship Id="rId13" Type="http://schemas.openxmlformats.org/officeDocument/2006/relationships/hyperlink" Target="mailto:info@towarzystwoprzyjaciolnauk.pl" TargetMode="External"/><Relationship Id="rId18" Type="http://schemas.openxmlformats.org/officeDocument/2006/relationships/hyperlink" Target="https://www.towarzystwoprzyjaciolnauk.pl/Statut/Odpowiedz_na_list_ZUS_10.06.2026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owarzystwoprzyjaciolnauk.pl/Statut/STATUT_TPN_PPB_KOTA_RP_PSA.pdf" TargetMode="External"/><Relationship Id="rId12" Type="http://schemas.openxmlformats.org/officeDocument/2006/relationships/hyperlink" Target="http://www.przeprawy24.com/" TargetMode="External"/><Relationship Id="rId17" Type="http://schemas.openxmlformats.org/officeDocument/2006/relationships/hyperlink" Target="http://www.przeprawy24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przeprawy24.com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ug@swiekatowo.pl" TargetMode="External"/><Relationship Id="rId11" Type="http://schemas.openxmlformats.org/officeDocument/2006/relationships/hyperlink" Target="http://www.przeprawy24.pl/" TargetMode="External"/><Relationship Id="rId5" Type="http://schemas.openxmlformats.org/officeDocument/2006/relationships/hyperlink" Target="mailto:info@societyoffriendsofscience.com" TargetMode="External"/><Relationship Id="rId15" Type="http://schemas.openxmlformats.org/officeDocument/2006/relationships/hyperlink" Target="https://www.societyoffriendsofscience.com" TargetMode="External"/><Relationship Id="rId10" Type="http://schemas.openxmlformats.org/officeDocument/2006/relationships/hyperlink" Target="https://www.towarzystwoprzyjaciolnauk.pl" TargetMode="External"/><Relationship Id="rId19" Type="http://schemas.openxmlformats.org/officeDocument/2006/relationships/fontTable" Target="fontTable.xml"/><Relationship Id="rId4" Type="http://schemas.openxmlformats.org/officeDocument/2006/relationships/hyperlink" Target="mailto:info@societyoffriendsofscience.com" TargetMode="External"/><Relationship Id="rId9" Type="http://schemas.openxmlformats.org/officeDocument/2006/relationships/hyperlink" Target="https://www.towarzystwoprzyjaciolnauk.pl" TargetMode="External"/><Relationship Id="rId14" Type="http://schemas.openxmlformats.org/officeDocument/2006/relationships/hyperlink" Target="https://www.societyoffriendsofscience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3591</Words>
  <Characters>21552</Characters>
  <Application>Microsoft Office Word</Application>
  <DocSecurity>0</DocSecurity>
  <Lines>179</Lines>
  <Paragraphs>50</Paragraphs>
  <ScaleCrop>false</ScaleCrop>
  <Company/>
  <LinksUpToDate>false</LinksUpToDate>
  <CharactersWithSpaces>25093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1</cp:revision>
  <dcterms:created xsi:type="dcterms:W3CDTF">2026-06-26T07:48:00Z</dcterms:created>
  <dcterms:modified xsi:type="dcterms:W3CDTF">2026-06-26T07:51:00Z</dcterms:modified>
</cp:coreProperties>
</file>